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7FC7" w14:textId="77777777" w:rsidR="00871132" w:rsidRDefault="00871132" w:rsidP="004B0DF2">
      <w:pPr>
        <w:pStyle w:val="Koptekst"/>
        <w:jc w:val="center"/>
        <w:rPr>
          <w:rFonts w:ascii="Calibri" w:hAnsi="Calibri"/>
          <w:b/>
          <w:color w:val="A98F00"/>
          <w:sz w:val="24"/>
        </w:rPr>
      </w:pPr>
    </w:p>
    <w:p w14:paraId="547ACE39" w14:textId="77777777" w:rsidR="00871132" w:rsidRDefault="00871132" w:rsidP="004B0DF2">
      <w:pPr>
        <w:pStyle w:val="Koptekst"/>
        <w:jc w:val="center"/>
        <w:rPr>
          <w:rFonts w:ascii="Calibri" w:hAnsi="Calibri"/>
          <w:b/>
          <w:color w:val="A98F00"/>
          <w:sz w:val="24"/>
        </w:rPr>
      </w:pPr>
    </w:p>
    <w:p w14:paraId="50D62C4C" w14:textId="77777777" w:rsidR="00871132" w:rsidRDefault="00871132" w:rsidP="004B0DF2">
      <w:pPr>
        <w:pStyle w:val="Koptekst"/>
        <w:jc w:val="center"/>
        <w:rPr>
          <w:rFonts w:ascii="Calibri" w:hAnsi="Calibri"/>
          <w:b/>
          <w:color w:val="A98F00"/>
          <w:sz w:val="24"/>
        </w:rPr>
      </w:pPr>
    </w:p>
    <w:p w14:paraId="75B5ECEC" w14:textId="77777777" w:rsidR="00871132" w:rsidRDefault="00871132" w:rsidP="004B0DF2">
      <w:pPr>
        <w:pStyle w:val="Koptekst"/>
        <w:jc w:val="center"/>
        <w:rPr>
          <w:rFonts w:ascii="Calibri" w:hAnsi="Calibri"/>
          <w:b/>
          <w:color w:val="A98F00"/>
          <w:sz w:val="24"/>
        </w:rPr>
      </w:pPr>
    </w:p>
    <w:p w14:paraId="312CCB7F" w14:textId="1D6A55B3"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0F4E73">
        <w:rPr>
          <w:rFonts w:ascii="Calibri" w:hAnsi="Calibri" w:cs="Calibri"/>
          <w:color w:val="330066"/>
          <w:sz w:val="22"/>
          <w:szCs w:val="22"/>
        </w:rPr>
        <w:t xml:space="preserve"> </w:t>
      </w:r>
      <w:hyperlink r:id="rId8" w:history="1">
        <w:r w:rsidR="009A50A7" w:rsidRPr="000F4E73">
          <w:rPr>
            <w:rFonts w:ascii="Calibri" w:hAnsi="Calibri" w:cs="Calibri"/>
            <w:color w:val="330066"/>
            <w:sz w:val="22"/>
            <w:szCs w:val="22"/>
          </w:rPr>
          <w:t>u</w:t>
        </w:r>
      </w:hyperlink>
      <w:r w:rsidR="009A50A7" w:rsidRPr="000F4E7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77777777" w:rsidR="00CB2D21" w:rsidRPr="005D0E98" w:rsidRDefault="00CB2D21"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2.3 </w:t>
            </w:r>
            <w:r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Pr="005D0E98">
              <w:rPr>
                <w:rFonts w:ascii="Calibri" w:hAnsi="Calibri"/>
                <w:color w:val="330066"/>
                <w:sz w:val="22"/>
                <w:szCs w:val="22"/>
              </w:rPr>
              <w:t xml:space="preserve">de aansprakelijkheid van de bewaarder </w:t>
            </w:r>
            <w:proofErr w:type="gramStart"/>
            <w:r w:rsidRPr="005D0E98">
              <w:rPr>
                <w:rFonts w:ascii="Calibri" w:hAnsi="Calibri"/>
                <w:color w:val="330066"/>
                <w:sz w:val="22"/>
                <w:szCs w:val="22"/>
              </w:rPr>
              <w:t>jegens</w:t>
            </w:r>
            <w:proofErr w:type="gramEnd"/>
            <w:r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309ECF01" w:rsidR="00AD3ED7" w:rsidRPr="008124A6" w:rsidRDefault="000F4E73" w:rsidP="000F4E73">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lastRenderedPageBreak/>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0235CAA5" w:rsidR="00890929" w:rsidRPr="008124A6" w:rsidRDefault="00890929" w:rsidP="00535BEE">
            <w:pPr>
              <w:numPr>
                <w:ilvl w:val="0"/>
                <w:numId w:val="22"/>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6789A57A"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5CA4093A"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49B8C791"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05E20E8C"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0F4E73">
              <w:rPr>
                <w:rFonts w:ascii="Calibri" w:hAnsi="Calibri" w:cs="Calibri"/>
                <w:color w:val="330066"/>
                <w:sz w:val="22"/>
                <w:szCs w:val="22"/>
              </w:rPr>
              <w:t>.</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w:t>
            </w:r>
            <w:r w:rsidRPr="008124A6">
              <w:rPr>
                <w:rFonts w:ascii="Calibri" w:hAnsi="Calibri" w:cs="Calibri"/>
                <w:color w:val="330066"/>
                <w:sz w:val="22"/>
                <w:szCs w:val="22"/>
              </w:rPr>
              <w:lastRenderedPageBreak/>
              <w:t>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5" w14:textId="17BE968F" w:rsidR="00731A02" w:rsidRDefault="00925C9B" w:rsidP="000F4E73">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behoort en de entiteiten waarmee hij di</w:t>
            </w:r>
            <w:r w:rsidR="000F4E73">
              <w:rPr>
                <w:rFonts w:ascii="Calibri" w:hAnsi="Calibri" w:cs="Calibri"/>
                <w:color w:val="330066"/>
                <w:sz w:val="22"/>
                <w:szCs w:val="22"/>
              </w:rPr>
              <w:t xml:space="preserve">rect en indirect verbonden is. </w:t>
            </w:r>
          </w:p>
          <w:p w14:paraId="70CD86F0" w14:textId="48BF7064" w:rsidR="000F4E73" w:rsidRPr="00731A02" w:rsidRDefault="000F4E73" w:rsidP="000F4E73">
            <w:pPr>
              <w:ind w:left="284" w:hanging="284"/>
              <w:rPr>
                <w:rFonts w:ascii="Calibri" w:hAnsi="Calibri" w:cs="Calibri"/>
                <w:color w:val="330066"/>
                <w:sz w:val="22"/>
                <w:szCs w:val="22"/>
              </w:rPr>
            </w:pPr>
          </w:p>
          <w:p w14:paraId="312CCC76"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lastRenderedPageBreak/>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eigendoms- en zeggenschapsverhoudingen.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 xml:space="preserve">Is de bewaarder ook (beoogd) </w:t>
            </w:r>
            <w:r w:rsidRPr="008124A6">
              <w:rPr>
                <w:rFonts w:ascii="Calibri" w:hAnsi="Calibri" w:cs="Calibri"/>
                <w:color w:val="330066"/>
                <w:sz w:val="22"/>
                <w:szCs w:val="22"/>
              </w:rPr>
              <w:lastRenderedPageBreak/>
              <w:t>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Om de geschiktheidstoetsing uit te kunnen voeren, bent u verplicht om voor de bij vragen </w:t>
            </w:r>
            <w:r w:rsidRPr="008124A6">
              <w:rPr>
                <w:rFonts w:ascii="Calibri" w:hAnsi="Calibri" w:cs="Calibri"/>
                <w:color w:val="330066"/>
                <w:sz w:val="22"/>
                <w:szCs w:val="22"/>
              </w:rPr>
              <w:lastRenderedPageBreak/>
              <w:t>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lastRenderedPageBreak/>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46982225"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0F4E73">
              <w:rPr>
                <w:rFonts w:ascii="Calibri" w:hAnsi="Calibri" w:cs="Calibri"/>
                <w:color w:val="330066"/>
                <w:sz w:val="22"/>
                <w:szCs w:val="22"/>
              </w:rPr>
              <w:tab/>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3F180D8" w:rsidR="000F4E73" w:rsidRDefault="000F4E73" w:rsidP="001A02CB">
      <w:pPr>
        <w:autoSpaceDE w:val="0"/>
        <w:autoSpaceDN w:val="0"/>
        <w:adjustRightInd w:val="0"/>
        <w:spacing w:after="200" w:line="276" w:lineRule="auto"/>
        <w:rPr>
          <w:rFonts w:ascii="Calibri" w:hAnsi="Calibri" w:cs="Calibri"/>
          <w:b/>
          <w:color w:val="330066"/>
          <w:sz w:val="22"/>
          <w:szCs w:val="22"/>
        </w:rPr>
      </w:pPr>
    </w:p>
    <w:p w14:paraId="12E8D515" w14:textId="77777777" w:rsidR="000F4E73" w:rsidRDefault="000F4E73">
      <w:pPr>
        <w:rPr>
          <w:rFonts w:ascii="Calibri" w:hAnsi="Calibri" w:cs="Calibri"/>
          <w:b/>
          <w:color w:val="330066"/>
          <w:sz w:val="22"/>
          <w:szCs w:val="22"/>
        </w:rPr>
      </w:pPr>
      <w:r>
        <w:rPr>
          <w:rFonts w:ascii="Calibri" w:hAnsi="Calibri" w:cs="Calibri"/>
          <w:b/>
          <w:color w:val="330066"/>
          <w:sz w:val="22"/>
          <w:szCs w:val="22"/>
        </w:rPr>
        <w:br w:type="page"/>
      </w:r>
    </w:p>
    <w:p w14:paraId="49A5AD2D"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871132"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27767FC1"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F4E73">
              <w:rPr>
                <w:rFonts w:ascii="Calibri" w:hAnsi="Calibri" w:cs="Calibri"/>
                <w:color w:val="330066"/>
                <w:sz w:val="22"/>
                <w:szCs w:val="22"/>
              </w:rPr>
              <w:t xml:space="preserve"> </w:t>
            </w:r>
            <w:r w:rsidR="000F4E73">
              <w:rPr>
                <w:rFonts w:ascii="Calibri" w:hAnsi="Calibri" w:cs="Calibri"/>
                <w:color w:val="330066"/>
                <w:sz w:val="22"/>
                <w:szCs w:val="22"/>
              </w:rPr>
              <w:tab/>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049D1E8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0F4E73">
              <w:rPr>
                <w:rFonts w:ascii="Calibri" w:hAnsi="Calibri" w:cs="Calibri"/>
                <w:color w:val="330066"/>
                <w:sz w:val="22"/>
                <w:szCs w:val="22"/>
              </w:rPr>
              <w:tab/>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1DB2F356"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0F4E73">
              <w:rPr>
                <w:rFonts w:ascii="Calibri" w:hAnsi="Calibri" w:cs="Calibri"/>
                <w:bCs/>
                <w:color w:val="330066"/>
                <w:sz w:val="22"/>
                <w:szCs w:val="22"/>
              </w:rPr>
              <w:tab/>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10D26E47" w:rsidR="00163B22"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h</w:t>
            </w:r>
            <w:r w:rsidR="00574CAB" w:rsidRPr="008124A6">
              <w:rPr>
                <w:rFonts w:ascii="Calibri" w:hAnsi="Calibri" w:cs="Calibri"/>
                <w:color w:val="330066"/>
                <w:sz w:val="22"/>
                <w:szCs w:val="22"/>
              </w:rPr>
              <w:t>andelsnaam en statutaire n</w:t>
            </w:r>
            <w:r w:rsidR="00163B22" w:rsidRPr="008124A6">
              <w:rPr>
                <w:rFonts w:ascii="Calibri" w:hAnsi="Calibri" w:cs="Calibri"/>
                <w:color w:val="330066"/>
                <w:sz w:val="22"/>
                <w:szCs w:val="22"/>
              </w:rPr>
              <w:t>aam;</w:t>
            </w:r>
          </w:p>
          <w:p w14:paraId="312CCE04" w14:textId="0BFC06E1"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a</w:t>
            </w:r>
            <w:r w:rsidR="00163B22" w:rsidRPr="008124A6">
              <w:rPr>
                <w:rFonts w:ascii="Calibri" w:hAnsi="Calibri" w:cs="Calibri"/>
                <w:color w:val="330066"/>
                <w:sz w:val="22"/>
                <w:szCs w:val="22"/>
              </w:rPr>
              <w:t xml:space="preserve">dres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005D06BE" w:rsidRPr="008124A6">
              <w:rPr>
                <w:rFonts w:ascii="Calibri" w:hAnsi="Calibri" w:cs="Calibri"/>
                <w:color w:val="330066"/>
                <w:sz w:val="22"/>
                <w:szCs w:val="22"/>
              </w:rPr>
              <w:t xml:space="preserve"> </w:t>
            </w:r>
          </w:p>
          <w:p w14:paraId="312CCE05" w14:textId="619F8DCA"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l</w:t>
            </w:r>
            <w:r w:rsidR="007A40FC" w:rsidRPr="008124A6">
              <w:rPr>
                <w:rFonts w:ascii="Calibri" w:hAnsi="Calibri" w:cs="Calibri"/>
                <w:color w:val="330066"/>
                <w:sz w:val="22"/>
                <w:szCs w:val="22"/>
              </w:rPr>
              <w:t>and</w:t>
            </w:r>
            <w:r w:rsidR="00DA2A74" w:rsidRPr="008124A6">
              <w:rPr>
                <w:rFonts w:ascii="Calibri" w:hAnsi="Calibri" w:cs="Calibri"/>
                <w:color w:val="330066"/>
                <w:sz w:val="22"/>
                <w:szCs w:val="22"/>
              </w:rPr>
              <w:t>;</w:t>
            </w:r>
          </w:p>
          <w:p w14:paraId="312CCE06" w14:textId="4F151B82" w:rsidR="007A40FC" w:rsidRPr="008124A6" w:rsidRDefault="000F4E73" w:rsidP="00CF156E">
            <w:pPr>
              <w:pStyle w:val="Lijstalinea"/>
              <w:ind w:left="426"/>
              <w:rPr>
                <w:rFonts w:ascii="Calibri" w:hAnsi="Calibri" w:cs="Calibri"/>
                <w:color w:val="330066"/>
                <w:sz w:val="22"/>
                <w:szCs w:val="22"/>
              </w:rPr>
            </w:pPr>
            <w:r>
              <w:rPr>
                <w:rFonts w:ascii="Calibri" w:hAnsi="Calibri" w:cs="Calibri"/>
                <w:color w:val="330066"/>
                <w:sz w:val="22"/>
                <w:szCs w:val="22"/>
              </w:rPr>
              <w:t xml:space="preserve">- </w:t>
            </w:r>
            <w:r w:rsidR="00B37565">
              <w:rPr>
                <w:rFonts w:ascii="Calibri" w:hAnsi="Calibri" w:cs="Calibri"/>
                <w:color w:val="330066"/>
                <w:sz w:val="22"/>
                <w:szCs w:val="22"/>
              </w:rPr>
              <w:t>n</w:t>
            </w:r>
            <w:r w:rsidR="007A40FC" w:rsidRPr="008124A6">
              <w:rPr>
                <w:rFonts w:ascii="Calibri" w:hAnsi="Calibri" w:cs="Calibri"/>
                <w:color w:val="330066"/>
                <w:sz w:val="22"/>
                <w:szCs w:val="22"/>
              </w:rPr>
              <w:t>aam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3236D931"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0F4E73">
              <w:rPr>
                <w:rFonts w:ascii="Calibri" w:hAnsi="Calibri" w:cs="Calibri"/>
                <w:color w:val="330066"/>
                <w:sz w:val="22"/>
                <w:szCs w:val="22"/>
              </w:rPr>
              <w:t>.3</w:t>
            </w:r>
            <w:r w:rsidR="000F4E73">
              <w:rPr>
                <w:rFonts w:ascii="Calibri" w:hAnsi="Calibri" w:cs="Calibri"/>
                <w:color w:val="330066"/>
                <w:sz w:val="22"/>
                <w:szCs w:val="22"/>
              </w:rPr>
              <w:tab/>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6E224751" w:rsidR="001A02CB" w:rsidRDefault="000F4E73" w:rsidP="000F4E73">
      <w:pPr>
        <w:numPr>
          <w:ilvl w:val="0"/>
          <w:numId w:val="40"/>
        </w:numPr>
        <w:tabs>
          <w:tab w:val="left" w:pos="851"/>
          <w:tab w:val="left" w:pos="993"/>
        </w:tabs>
        <w:spacing w:line="276" w:lineRule="auto"/>
        <w:rPr>
          <w:rFonts w:ascii="Calibri" w:hAnsi="Calibri" w:cs="Calibri"/>
          <w:b/>
          <w:color w:val="330066"/>
          <w:sz w:val="28"/>
          <w:szCs w:val="28"/>
        </w:rPr>
      </w:pPr>
      <w:r>
        <w:rPr>
          <w:rFonts w:ascii="Calibri" w:hAnsi="Calibri" w:cs="Calibri"/>
          <w:b/>
          <w:color w:val="330066"/>
          <w:sz w:val="28"/>
          <w:szCs w:val="28"/>
        </w:rPr>
        <w:tab/>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3D722736" w:rsidR="00D56B22" w:rsidRPr="008124A6" w:rsidRDefault="000F4E73" w:rsidP="000F4E73">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29FD41DE"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048D5223" w:rsidR="000B78A8" w:rsidRPr="008124A6" w:rsidRDefault="000B78A8" w:rsidP="009758D8">
      <w:pPr>
        <w:ind w:left="705" w:hanging="705"/>
        <w:jc w:val="both"/>
        <w:rPr>
          <w:rFonts w:ascii="Calibri" w:hAnsi="Calibri" w:cs="Calibri"/>
          <w:b/>
          <w:bCs/>
          <w:color w:val="330066"/>
          <w:sz w:val="22"/>
          <w:szCs w:val="22"/>
        </w:rPr>
      </w:pP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1437259B" w:rsidR="00FB2368" w:rsidRPr="008124A6" w:rsidRDefault="001C0D5F" w:rsidP="001C0D5F">
      <w:pPr>
        <w:numPr>
          <w:ilvl w:val="0"/>
          <w:numId w:val="40"/>
        </w:numPr>
        <w:tabs>
          <w:tab w:val="left" w:pos="851"/>
        </w:tabs>
        <w:spacing w:line="276" w:lineRule="auto"/>
        <w:rPr>
          <w:rFonts w:ascii="Calibri" w:hAnsi="Calibri" w:cs="Calibri"/>
          <w:b/>
          <w:color w:val="330066"/>
          <w:sz w:val="28"/>
          <w:szCs w:val="28"/>
        </w:rPr>
      </w:pPr>
      <w:r>
        <w:rPr>
          <w:rFonts w:ascii="Calibri" w:hAnsi="Calibri" w:cs="Calibri"/>
          <w:b/>
          <w:color w:val="330066"/>
          <w:sz w:val="28"/>
          <w:szCs w:val="28"/>
        </w:rPr>
        <w:lastRenderedPageBreak/>
        <w:tab/>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1176EBCE" w:rsidR="001A02CB" w:rsidRPr="008124A6" w:rsidRDefault="00D56B22" w:rsidP="001C0D5F">
      <w:pPr>
        <w:numPr>
          <w:ilvl w:val="0"/>
          <w:numId w:val="40"/>
        </w:numPr>
        <w:tabs>
          <w:tab w:val="left" w:pos="851"/>
        </w:tabs>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1C0D5F">
        <w:rPr>
          <w:rFonts w:ascii="Calibri" w:hAnsi="Calibri" w:cs="Calibri"/>
          <w:b/>
          <w:color w:val="330066"/>
          <w:sz w:val="28"/>
          <w:szCs w:val="28"/>
        </w:rPr>
        <w:lastRenderedPageBreak/>
        <w:tab/>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BF17" w14:textId="77777777" w:rsidR="00D13DDE" w:rsidRDefault="00D13DDE" w:rsidP="00C4368A">
      <w:r>
        <w:separator/>
      </w:r>
    </w:p>
  </w:endnote>
  <w:endnote w:type="continuationSeparator" w:id="0">
    <w:p w14:paraId="3E43D334" w14:textId="77777777" w:rsidR="00D13DDE" w:rsidRDefault="00D13DDE"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0F4E73" w:rsidRPr="00CF77BB" w:rsidRDefault="000F4E73">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0F4E73" w:rsidRDefault="000F4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6DAC" w14:textId="77777777" w:rsidR="00D13DDE" w:rsidRDefault="00D13DDE" w:rsidP="00C4368A">
      <w:r>
        <w:separator/>
      </w:r>
    </w:p>
  </w:footnote>
  <w:footnote w:type="continuationSeparator" w:id="0">
    <w:p w14:paraId="15506BDA" w14:textId="77777777" w:rsidR="00D13DDE" w:rsidRDefault="00D13DDE" w:rsidP="00C4368A">
      <w:r>
        <w:continuationSeparator/>
      </w:r>
    </w:p>
  </w:footnote>
  <w:footnote w:id="1">
    <w:p w14:paraId="312CCF0D" w14:textId="77777777" w:rsidR="000F4E73" w:rsidRPr="00DA2A30" w:rsidRDefault="000F4E73"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0F4E73" w:rsidRPr="00017C41" w:rsidRDefault="000F4E73"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0F4E73" w:rsidRPr="008124A6" w:rsidRDefault="000F4E73">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1C0D5F">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0F4E73" w:rsidRDefault="000F4E73"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57D69725" w:rsidR="000F4E73" w:rsidRPr="00871132" w:rsidRDefault="00871132" w:rsidP="00871132">
    <w:pPr>
      <w:pStyle w:val="Koptekst"/>
    </w:pPr>
    <w:r>
      <w:rPr>
        <w:noProof/>
      </w:rPr>
      <w:drawing>
        <wp:anchor distT="0" distB="0" distL="114300" distR="114300" simplePos="0" relativeHeight="251659264" behindDoc="0" locked="0" layoutInCell="1" allowOverlap="1" wp14:anchorId="5E7157CE" wp14:editId="59EEEB58">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4E73"/>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0D5F"/>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132"/>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3DDE"/>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4795"/>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AFMDOC-129-11514</_dlc_DocId>
    <_dlc_DocIdUrl xmlns="dd62d345-e1f9-48ef-b6ff-7cdbbbf7a6ae">
      <Url>https://dms.stelan.nl/bedrijfsvoering/_layouts/15/DocIdRedir.aspx?ID=AFMDOC-129-11514</Url>
      <Description>AFMDOC-129-11514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41AF7DFC-8DF4-42D7-816F-FC9C41A939E5}">
  <ds:schemaRefs>
    <ds:schemaRef ds:uri="http://schemas.openxmlformats.org/officeDocument/2006/bibliography"/>
  </ds:schemaRefs>
</ds:datastoreItem>
</file>

<file path=customXml/itemProps2.xml><?xml version="1.0" encoding="utf-8"?>
<ds:datastoreItem xmlns:ds="http://schemas.openxmlformats.org/officeDocument/2006/customXml" ds:itemID="{EEEC0928-B3EA-427A-8064-EB43C21B260C}"/>
</file>

<file path=customXml/itemProps3.xml><?xml version="1.0" encoding="utf-8"?>
<ds:datastoreItem xmlns:ds="http://schemas.openxmlformats.org/officeDocument/2006/customXml" ds:itemID="{49C02144-A253-4268-A848-D7224C85396C}"/>
</file>

<file path=customXml/itemProps4.xml><?xml version="1.0" encoding="utf-8"?>
<ds:datastoreItem xmlns:ds="http://schemas.openxmlformats.org/officeDocument/2006/customXml" ds:itemID="{7E1F1E5E-9AC0-4D46-A71A-D3A4C46984A1}"/>
</file>

<file path=customXml/itemProps5.xml><?xml version="1.0" encoding="utf-8"?>
<ds:datastoreItem xmlns:ds="http://schemas.openxmlformats.org/officeDocument/2006/customXml" ds:itemID="{C41725B8-4374-4D69-950D-8E54DB220317}"/>
</file>

<file path=customXml/itemProps6.xml><?xml version="1.0" encoding="utf-8"?>
<ds:datastoreItem xmlns:ds="http://schemas.openxmlformats.org/officeDocument/2006/customXml" ds:itemID="{06AAF564-F06A-4A5A-8542-CA5805EC4DA6}"/>
</file>

<file path=customXml/itemProps7.xml><?xml version="1.0" encoding="utf-8"?>
<ds:datastoreItem xmlns:ds="http://schemas.openxmlformats.org/officeDocument/2006/customXml" ds:itemID="{5267F981-7435-48E8-855A-183C731F1C7E}"/>
</file>

<file path=docProps/app.xml><?xml version="1.0" encoding="utf-8"?>
<Properties xmlns="http://schemas.openxmlformats.org/officeDocument/2006/extended-properties" xmlns:vt="http://schemas.openxmlformats.org/officeDocument/2006/docPropsVTypes">
  <Template>Normal.dotm</Template>
  <TotalTime>0</TotalTime>
  <Pages>24</Pages>
  <Words>7126</Words>
  <Characters>35848</Characters>
  <Application>Microsoft Office Word</Application>
  <DocSecurity>0</DocSecurity>
  <Lines>1792</Lines>
  <Paragraphs>1591</Paragraphs>
  <ScaleCrop>false</ScaleCrop>
  <LinksUpToDate>false</LinksUpToDate>
  <CharactersWithSpaces>41383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2021-06-13T15:19:00Z</dcterms:created>
  <dcterms:modified xsi:type="dcterms:W3CDTF">2021-06-13T15:19:00Z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79c79602-a65f-4281-86a4-de15a070c240</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